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62D4E2" w14:textId="77777777" w:rsidR="002A027A" w:rsidRPr="00825A50" w:rsidRDefault="002A027A" w:rsidP="002A027A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825A50">
        <w:rPr>
          <w:rFonts w:ascii="Arial" w:hAnsi="Arial" w:cs="Arial"/>
          <w:b/>
          <w:sz w:val="28"/>
          <w:szCs w:val="28"/>
        </w:rPr>
        <w:t>Supplement Tables</w:t>
      </w:r>
    </w:p>
    <w:p w14:paraId="378DA757" w14:textId="77777777" w:rsidR="002A027A" w:rsidRPr="008B394A" w:rsidRDefault="002A027A" w:rsidP="002A027A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8B394A">
        <w:rPr>
          <w:rFonts w:ascii="Arial" w:hAnsi="Arial" w:cs="Arial"/>
          <w:b/>
          <w:sz w:val="18"/>
          <w:szCs w:val="18"/>
        </w:rPr>
        <w:t>Table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 w:hint="eastAsia"/>
          <w:b/>
          <w:sz w:val="18"/>
          <w:szCs w:val="18"/>
        </w:rPr>
        <w:t>S</w:t>
      </w:r>
      <w:r>
        <w:rPr>
          <w:rFonts w:ascii="Arial" w:hAnsi="Arial" w:cs="Arial"/>
          <w:b/>
          <w:sz w:val="18"/>
          <w:szCs w:val="18"/>
        </w:rPr>
        <w:t>1</w:t>
      </w:r>
      <w:r w:rsidRPr="008B394A">
        <w:rPr>
          <w:rFonts w:ascii="Arial" w:hAnsi="Arial" w:cs="Arial"/>
          <w:b/>
          <w:sz w:val="18"/>
          <w:szCs w:val="18"/>
        </w:rPr>
        <w:t>. Univariate Cox regression analys</w:t>
      </w:r>
      <w:r>
        <w:rPr>
          <w:rFonts w:ascii="Arial" w:hAnsi="Arial" w:cs="Arial"/>
          <w:b/>
          <w:sz w:val="18"/>
          <w:szCs w:val="18"/>
        </w:rPr>
        <w:t>i</w:t>
      </w:r>
      <w:r w:rsidRPr="008B394A">
        <w:rPr>
          <w:rFonts w:ascii="Arial" w:hAnsi="Arial" w:cs="Arial"/>
          <w:b/>
          <w:sz w:val="18"/>
          <w:szCs w:val="18"/>
        </w:rPr>
        <w:t xml:space="preserve">s of </w:t>
      </w:r>
      <w:r w:rsidRPr="008B394A">
        <w:rPr>
          <w:rFonts w:ascii="Arial" w:eastAsiaTheme="minorEastAsia" w:hAnsi="Arial" w:cs="Arial"/>
          <w:b/>
          <w:kern w:val="0"/>
          <w:sz w:val="18"/>
          <w:szCs w:val="18"/>
        </w:rPr>
        <w:t>different prognostic parameters for overall survival</w:t>
      </w:r>
      <w:r w:rsidRPr="008B394A">
        <w:rPr>
          <w:rFonts w:ascii="Arial" w:hAnsi="Arial" w:cs="Arial"/>
          <w:b/>
          <w:sz w:val="18"/>
          <w:szCs w:val="18"/>
        </w:rPr>
        <w:t xml:space="preserve"> in IDH mutation (+) TERT promotor mutation (-) 1p19q codeletion (-) WHO grade II and III diffuse glioma</w:t>
      </w:r>
      <w:r>
        <w:rPr>
          <w:rFonts w:ascii="Arial" w:hAnsi="Arial" w:cs="Arial"/>
          <w:b/>
          <w:sz w:val="18"/>
          <w:szCs w:val="18"/>
        </w:rPr>
        <w:t>s patients</w:t>
      </w:r>
      <w:r w:rsidRPr="008B394A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680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09"/>
        <w:gridCol w:w="1701"/>
        <w:gridCol w:w="1134"/>
        <w:gridCol w:w="284"/>
      </w:tblGrid>
      <w:tr w:rsidR="002A027A" w:rsidRPr="00293845" w14:paraId="6605893A" w14:textId="77777777" w:rsidTr="00C93214">
        <w:trPr>
          <w:trHeight w:val="270"/>
          <w:jc w:val="center"/>
        </w:trPr>
        <w:tc>
          <w:tcPr>
            <w:tcW w:w="2977" w:type="dxa"/>
            <w:vMerge w:val="restart"/>
            <w:shd w:val="clear" w:color="auto" w:fill="auto"/>
            <w:noWrap/>
            <w:vAlign w:val="bottom"/>
            <w:hideMark/>
          </w:tcPr>
          <w:p w14:paraId="505978C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3544" w:type="dxa"/>
            <w:gridSpan w:val="3"/>
            <w:shd w:val="clear" w:color="auto" w:fill="auto"/>
            <w:noWrap/>
            <w:vAlign w:val="bottom"/>
            <w:hideMark/>
          </w:tcPr>
          <w:p w14:paraId="137BC27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Univariate</w:t>
            </w:r>
          </w:p>
        </w:tc>
        <w:tc>
          <w:tcPr>
            <w:tcW w:w="284" w:type="dxa"/>
          </w:tcPr>
          <w:p w14:paraId="0DE003F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74FD0D25" w14:textId="77777777" w:rsidTr="00C93214">
        <w:trPr>
          <w:trHeight w:val="270"/>
          <w:jc w:val="center"/>
        </w:trPr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562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049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BA4D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B3D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796887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17B0DC35" w14:textId="77777777" w:rsidTr="00C93214">
        <w:trPr>
          <w:trHeight w:val="27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4A31" w14:textId="77777777" w:rsidR="002A027A" w:rsidRPr="00293845" w:rsidRDefault="002A027A" w:rsidP="00C93214">
            <w:pPr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Age(</w:t>
            </w:r>
            <w:proofErr w:type="gramEnd"/>
            <w:r w:rsidRPr="00FD1E79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 xml:space="preserve">50 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 xml:space="preserve">vs 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&gt;50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2A0F61F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1.235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40EBF34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0.472</w:t>
            </w: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3.231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4CA13B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0.667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7634DE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79FE58E2" w14:textId="77777777" w:rsidTr="00C93214">
        <w:trPr>
          <w:trHeight w:val="349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6FC9AB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Gender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male vs female)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53C7766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0.931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616423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0.424-2.0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3EF7B21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0.858</w:t>
            </w:r>
          </w:p>
        </w:tc>
        <w:tc>
          <w:tcPr>
            <w:tcW w:w="284" w:type="dxa"/>
          </w:tcPr>
          <w:p w14:paraId="3F78025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354FF25E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DA4C66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WHO Grade（II vs III）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255CDB8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1.921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765D952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0.608</w:t>
            </w: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6.065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F305A06" w14:textId="77777777" w:rsidR="002A027A" w:rsidRPr="00336240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284" w:type="dxa"/>
          </w:tcPr>
          <w:p w14:paraId="7CFA9C6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6B4E685A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5711C1D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Extent of resection (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GTR vs STR)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5F46FA39" w14:textId="77777777" w:rsidR="002A027A" w:rsidRPr="00EF0ED8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1.325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40FA4CB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0.606-2.900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D5E444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0.481</w:t>
            </w:r>
          </w:p>
        </w:tc>
        <w:tc>
          <w:tcPr>
            <w:tcW w:w="284" w:type="dxa"/>
          </w:tcPr>
          <w:p w14:paraId="046D2C7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62775B20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A06303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NLR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2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9 vs &gt;2.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2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1A74A0FF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1.771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7512983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0.865-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3.629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FB2360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284" w:type="dxa"/>
          </w:tcPr>
          <w:p w14:paraId="02CF36D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7C526E50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7EFBAF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LMR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4.81 vs &gt;4.</w:t>
            </w:r>
            <w:proofErr w:type="gramStart"/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81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)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）</w:t>
            </w:r>
            <w:proofErr w:type="gramEnd"/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62E536A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0.606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E6E8E1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0.288-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1.275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24DF80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284" w:type="dxa"/>
          </w:tcPr>
          <w:p w14:paraId="442FE434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60B4C29F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15EE19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PLR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112.11 vs &gt;112.11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3000E7F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0.882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DD002F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0.404-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1.926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00DA17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753</w:t>
            </w:r>
          </w:p>
        </w:tc>
        <w:tc>
          <w:tcPr>
            <w:tcW w:w="284" w:type="dxa"/>
          </w:tcPr>
          <w:p w14:paraId="45F8467B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572E15BA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19B3F8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dNLR</w:t>
            </w:r>
            <w:proofErr w:type="spellEnd"/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1.66 vs &gt;1.66)</w:t>
            </w:r>
          </w:p>
        </w:tc>
        <w:tc>
          <w:tcPr>
            <w:tcW w:w="709" w:type="dxa"/>
            <w:shd w:val="clear" w:color="auto" w:fill="auto"/>
            <w:noWrap/>
            <w:vAlign w:val="bottom"/>
          </w:tcPr>
          <w:p w14:paraId="0BE0075E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2.148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C8749E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1.047-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4.409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D2B424A" w14:textId="77777777" w:rsidR="002A027A" w:rsidRPr="003F2325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3F2325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0.037*</w:t>
            </w:r>
          </w:p>
        </w:tc>
        <w:tc>
          <w:tcPr>
            <w:tcW w:w="284" w:type="dxa"/>
          </w:tcPr>
          <w:p w14:paraId="5F9AF82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E04778F" w14:textId="77777777" w:rsidR="002A027A" w:rsidRDefault="002A027A" w:rsidP="002A027A">
      <w:pPr>
        <w:jc w:val="center"/>
        <w:rPr>
          <w:rFonts w:ascii="Arial" w:hAnsi="Arial" w:cs="Arial"/>
          <w:b/>
          <w:sz w:val="18"/>
          <w:szCs w:val="18"/>
        </w:rPr>
      </w:pPr>
    </w:p>
    <w:p w14:paraId="2C6B6D83" w14:textId="77777777" w:rsidR="002A027A" w:rsidRDefault="002A027A" w:rsidP="002A027A">
      <w:pPr>
        <w:rPr>
          <w:rFonts w:ascii="Arial" w:hAnsi="Arial" w:cs="Arial"/>
          <w:b/>
          <w:sz w:val="18"/>
          <w:szCs w:val="18"/>
        </w:rPr>
      </w:pPr>
    </w:p>
    <w:p w14:paraId="3054F5C9" w14:textId="77777777" w:rsidR="002A027A" w:rsidRPr="00F23B4C" w:rsidRDefault="002A027A" w:rsidP="002A027A">
      <w:pPr>
        <w:jc w:val="center"/>
        <w:rPr>
          <w:rFonts w:ascii="Arial" w:hAnsi="Arial" w:cs="Arial"/>
          <w:b/>
          <w:sz w:val="18"/>
          <w:szCs w:val="18"/>
        </w:rPr>
      </w:pPr>
      <w:r w:rsidRPr="00F23B4C">
        <w:rPr>
          <w:rFonts w:ascii="Arial" w:hAnsi="Arial" w:cs="Arial"/>
          <w:b/>
          <w:sz w:val="18"/>
          <w:szCs w:val="18"/>
        </w:rPr>
        <w:t>Table S</w:t>
      </w:r>
      <w:r>
        <w:rPr>
          <w:rFonts w:ascii="Arial" w:hAnsi="Arial" w:cs="Arial"/>
          <w:b/>
          <w:sz w:val="18"/>
          <w:szCs w:val="18"/>
        </w:rPr>
        <w:t>2</w:t>
      </w:r>
      <w:r w:rsidRPr="00F23B4C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Correl</w:t>
      </w:r>
      <w:r w:rsidRPr="00F23B4C">
        <w:rPr>
          <w:rFonts w:ascii="Arial" w:hAnsi="Arial" w:cs="Arial"/>
          <w:b/>
          <w:sz w:val="18"/>
          <w:szCs w:val="18"/>
        </w:rPr>
        <w:t>ations between NLR, LMR, PLR and</w:t>
      </w:r>
      <w:r w:rsidRPr="00F23B4C">
        <w:rPr>
          <w:rFonts w:ascii="Arial" w:hAnsi="Arial" w:cs="Arial" w:hint="eastAsia"/>
          <w:b/>
          <w:sz w:val="18"/>
          <w:szCs w:val="18"/>
        </w:rPr>
        <w:t xml:space="preserve"> </w:t>
      </w:r>
      <w:proofErr w:type="spellStart"/>
      <w:r w:rsidRPr="00F23B4C">
        <w:rPr>
          <w:rFonts w:ascii="Arial" w:hAnsi="Arial" w:cs="Arial"/>
          <w:b/>
          <w:sz w:val="18"/>
          <w:szCs w:val="18"/>
        </w:rPr>
        <w:t>dNLR</w:t>
      </w:r>
      <w:proofErr w:type="spellEnd"/>
    </w:p>
    <w:tbl>
      <w:tblPr>
        <w:tblStyle w:val="TableGrid"/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219"/>
        <w:gridCol w:w="1049"/>
        <w:gridCol w:w="1196"/>
        <w:gridCol w:w="1072"/>
        <w:gridCol w:w="1173"/>
        <w:gridCol w:w="1123"/>
        <w:gridCol w:w="1247"/>
        <w:gridCol w:w="998"/>
      </w:tblGrid>
      <w:tr w:rsidR="002A027A" w:rsidRPr="0018485D" w14:paraId="57BA5AA9" w14:textId="77777777" w:rsidTr="00C93214">
        <w:trPr>
          <w:jc w:val="center"/>
        </w:trPr>
        <w:tc>
          <w:tcPr>
            <w:tcW w:w="988" w:type="dxa"/>
            <w:vMerge w:val="restart"/>
          </w:tcPr>
          <w:p w14:paraId="4665E687" w14:textId="77777777" w:rsidR="002A027A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E499FF6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variables</w:t>
            </w:r>
          </w:p>
        </w:tc>
        <w:tc>
          <w:tcPr>
            <w:tcW w:w="2268" w:type="dxa"/>
            <w:gridSpan w:val="2"/>
          </w:tcPr>
          <w:p w14:paraId="798A6ED0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NLR</w:t>
            </w:r>
          </w:p>
        </w:tc>
        <w:tc>
          <w:tcPr>
            <w:tcW w:w="2268" w:type="dxa"/>
            <w:gridSpan w:val="2"/>
          </w:tcPr>
          <w:p w14:paraId="4ECA2895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LMR</w:t>
            </w:r>
          </w:p>
        </w:tc>
        <w:tc>
          <w:tcPr>
            <w:tcW w:w="2296" w:type="dxa"/>
            <w:gridSpan w:val="2"/>
          </w:tcPr>
          <w:p w14:paraId="3C83C242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PLR</w:t>
            </w:r>
          </w:p>
        </w:tc>
        <w:tc>
          <w:tcPr>
            <w:tcW w:w="2245" w:type="dxa"/>
            <w:gridSpan w:val="2"/>
          </w:tcPr>
          <w:p w14:paraId="25C0278F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18485D">
              <w:rPr>
                <w:rFonts w:asciiTheme="minorHAnsi" w:hAnsiTheme="minorHAnsi"/>
                <w:sz w:val="20"/>
                <w:szCs w:val="20"/>
              </w:rPr>
              <w:t>dNLR</w:t>
            </w:r>
            <w:proofErr w:type="spellEnd"/>
          </w:p>
        </w:tc>
      </w:tr>
      <w:tr w:rsidR="002A027A" w:rsidRPr="0018485D" w14:paraId="126F0996" w14:textId="77777777" w:rsidTr="00C93214">
        <w:trPr>
          <w:jc w:val="center"/>
        </w:trPr>
        <w:tc>
          <w:tcPr>
            <w:tcW w:w="988" w:type="dxa"/>
            <w:vMerge/>
          </w:tcPr>
          <w:p w14:paraId="2334EAB3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19" w:type="dxa"/>
          </w:tcPr>
          <w:p w14:paraId="401C9EAF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Spearman’s rho</w:t>
            </w:r>
          </w:p>
        </w:tc>
        <w:tc>
          <w:tcPr>
            <w:tcW w:w="1049" w:type="dxa"/>
          </w:tcPr>
          <w:p w14:paraId="25006842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96" w:type="dxa"/>
          </w:tcPr>
          <w:p w14:paraId="1BAC66CC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Spearman’s rho</w:t>
            </w:r>
          </w:p>
        </w:tc>
        <w:tc>
          <w:tcPr>
            <w:tcW w:w="1072" w:type="dxa"/>
          </w:tcPr>
          <w:p w14:paraId="3FF06A24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173" w:type="dxa"/>
          </w:tcPr>
          <w:p w14:paraId="0524AC3E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Spearman’s rho</w:t>
            </w:r>
          </w:p>
        </w:tc>
        <w:tc>
          <w:tcPr>
            <w:tcW w:w="1123" w:type="dxa"/>
          </w:tcPr>
          <w:p w14:paraId="6AF06CBC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P</w:t>
            </w:r>
          </w:p>
        </w:tc>
        <w:tc>
          <w:tcPr>
            <w:tcW w:w="1247" w:type="dxa"/>
          </w:tcPr>
          <w:p w14:paraId="24885A91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Spearman’s rho</w:t>
            </w:r>
          </w:p>
        </w:tc>
        <w:tc>
          <w:tcPr>
            <w:tcW w:w="998" w:type="dxa"/>
          </w:tcPr>
          <w:p w14:paraId="1E07204E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 w:cs="Arial"/>
                <w:sz w:val="20"/>
                <w:szCs w:val="20"/>
                <w:shd w:val="clear" w:color="auto" w:fill="FFFFFF"/>
              </w:rPr>
              <w:t>P</w:t>
            </w:r>
          </w:p>
        </w:tc>
      </w:tr>
      <w:tr w:rsidR="002A027A" w:rsidRPr="0018485D" w14:paraId="79055A61" w14:textId="77777777" w:rsidTr="00C93214">
        <w:trPr>
          <w:jc w:val="center"/>
        </w:trPr>
        <w:tc>
          <w:tcPr>
            <w:tcW w:w="988" w:type="dxa"/>
          </w:tcPr>
          <w:p w14:paraId="48CF6A47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NLR</w:t>
            </w:r>
          </w:p>
        </w:tc>
        <w:tc>
          <w:tcPr>
            <w:tcW w:w="1219" w:type="dxa"/>
          </w:tcPr>
          <w:p w14:paraId="582CF4C4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1049" w:type="dxa"/>
          </w:tcPr>
          <w:p w14:paraId="4FB6EE46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1196" w:type="dxa"/>
          </w:tcPr>
          <w:p w14:paraId="37DFE2EC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0.636</w:t>
            </w:r>
          </w:p>
        </w:tc>
        <w:tc>
          <w:tcPr>
            <w:tcW w:w="1072" w:type="dxa"/>
          </w:tcPr>
          <w:p w14:paraId="23115C5D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173" w:type="dxa"/>
          </w:tcPr>
          <w:p w14:paraId="6C113373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0.450</w:t>
            </w:r>
          </w:p>
        </w:tc>
        <w:tc>
          <w:tcPr>
            <w:tcW w:w="1123" w:type="dxa"/>
          </w:tcPr>
          <w:p w14:paraId="6AEFB08C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bookmarkStart w:id="0" w:name="OLE_LINK22"/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  <w:bookmarkEnd w:id="0"/>
          </w:p>
        </w:tc>
        <w:tc>
          <w:tcPr>
            <w:tcW w:w="1247" w:type="dxa"/>
          </w:tcPr>
          <w:p w14:paraId="0854C8C0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0.972</w:t>
            </w:r>
          </w:p>
        </w:tc>
        <w:tc>
          <w:tcPr>
            <w:tcW w:w="998" w:type="dxa"/>
          </w:tcPr>
          <w:p w14:paraId="37A611CB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</w:tr>
      <w:tr w:rsidR="002A027A" w:rsidRPr="0018485D" w14:paraId="1147452D" w14:textId="77777777" w:rsidTr="00C93214">
        <w:trPr>
          <w:jc w:val="center"/>
        </w:trPr>
        <w:tc>
          <w:tcPr>
            <w:tcW w:w="988" w:type="dxa"/>
          </w:tcPr>
          <w:p w14:paraId="5D693FEF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LMR</w:t>
            </w:r>
          </w:p>
        </w:tc>
        <w:tc>
          <w:tcPr>
            <w:tcW w:w="1219" w:type="dxa"/>
          </w:tcPr>
          <w:p w14:paraId="29C6A80A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0.636</w:t>
            </w:r>
          </w:p>
        </w:tc>
        <w:tc>
          <w:tcPr>
            <w:tcW w:w="1049" w:type="dxa"/>
          </w:tcPr>
          <w:p w14:paraId="452956E8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196" w:type="dxa"/>
          </w:tcPr>
          <w:p w14:paraId="5DF7E2DD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1072" w:type="dxa"/>
          </w:tcPr>
          <w:p w14:paraId="09C7174C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1173" w:type="dxa"/>
          </w:tcPr>
          <w:p w14:paraId="35D57E60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-0.359</w:t>
            </w:r>
          </w:p>
        </w:tc>
        <w:tc>
          <w:tcPr>
            <w:tcW w:w="1123" w:type="dxa"/>
          </w:tcPr>
          <w:p w14:paraId="5A5DF274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247" w:type="dxa"/>
          </w:tcPr>
          <w:p w14:paraId="612B3437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-0.501</w:t>
            </w:r>
          </w:p>
        </w:tc>
        <w:tc>
          <w:tcPr>
            <w:tcW w:w="998" w:type="dxa"/>
          </w:tcPr>
          <w:p w14:paraId="517F0748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</w:tr>
      <w:tr w:rsidR="002A027A" w:rsidRPr="0018485D" w14:paraId="1BB28222" w14:textId="77777777" w:rsidTr="00C93214">
        <w:trPr>
          <w:jc w:val="center"/>
        </w:trPr>
        <w:tc>
          <w:tcPr>
            <w:tcW w:w="988" w:type="dxa"/>
          </w:tcPr>
          <w:p w14:paraId="76359806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PLR</w:t>
            </w:r>
          </w:p>
        </w:tc>
        <w:tc>
          <w:tcPr>
            <w:tcW w:w="1219" w:type="dxa"/>
          </w:tcPr>
          <w:p w14:paraId="011625BB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0.450</w:t>
            </w:r>
          </w:p>
        </w:tc>
        <w:tc>
          <w:tcPr>
            <w:tcW w:w="1049" w:type="dxa"/>
          </w:tcPr>
          <w:p w14:paraId="49B21AAD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196" w:type="dxa"/>
          </w:tcPr>
          <w:p w14:paraId="50B62AFA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-0.359</w:t>
            </w:r>
          </w:p>
        </w:tc>
        <w:tc>
          <w:tcPr>
            <w:tcW w:w="1072" w:type="dxa"/>
          </w:tcPr>
          <w:p w14:paraId="779B8CBD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173" w:type="dxa"/>
          </w:tcPr>
          <w:p w14:paraId="25731949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1123" w:type="dxa"/>
          </w:tcPr>
          <w:p w14:paraId="4B9DCB47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1247" w:type="dxa"/>
          </w:tcPr>
          <w:p w14:paraId="7F8C40C0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0.415</w:t>
            </w:r>
          </w:p>
        </w:tc>
        <w:tc>
          <w:tcPr>
            <w:tcW w:w="998" w:type="dxa"/>
          </w:tcPr>
          <w:p w14:paraId="429CFD69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</w:tr>
      <w:tr w:rsidR="002A027A" w:rsidRPr="0018485D" w14:paraId="1F6F2E75" w14:textId="77777777" w:rsidTr="00C93214">
        <w:trPr>
          <w:jc w:val="center"/>
        </w:trPr>
        <w:tc>
          <w:tcPr>
            <w:tcW w:w="988" w:type="dxa"/>
          </w:tcPr>
          <w:p w14:paraId="2A3715CA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18485D">
              <w:rPr>
                <w:rFonts w:asciiTheme="minorHAnsi" w:hAnsiTheme="minorHAnsi"/>
                <w:sz w:val="20"/>
                <w:szCs w:val="20"/>
              </w:rPr>
              <w:t>dNLR</w:t>
            </w:r>
            <w:proofErr w:type="spellEnd"/>
          </w:p>
        </w:tc>
        <w:tc>
          <w:tcPr>
            <w:tcW w:w="1219" w:type="dxa"/>
          </w:tcPr>
          <w:p w14:paraId="1E4BAC25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0.972</w:t>
            </w:r>
          </w:p>
        </w:tc>
        <w:tc>
          <w:tcPr>
            <w:tcW w:w="1049" w:type="dxa"/>
          </w:tcPr>
          <w:p w14:paraId="5817BF09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196" w:type="dxa"/>
          </w:tcPr>
          <w:p w14:paraId="2208B3EF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-0.501</w:t>
            </w:r>
          </w:p>
        </w:tc>
        <w:tc>
          <w:tcPr>
            <w:tcW w:w="1072" w:type="dxa"/>
          </w:tcPr>
          <w:p w14:paraId="42EB8E5F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173" w:type="dxa"/>
          </w:tcPr>
          <w:p w14:paraId="61C1B557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0.415</w:t>
            </w:r>
          </w:p>
        </w:tc>
        <w:tc>
          <w:tcPr>
            <w:tcW w:w="1123" w:type="dxa"/>
          </w:tcPr>
          <w:p w14:paraId="5F56BAD9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b/>
                <w:sz w:val="20"/>
                <w:szCs w:val="20"/>
              </w:rPr>
              <w:t>&lt;0.001*</w:t>
            </w:r>
          </w:p>
        </w:tc>
        <w:tc>
          <w:tcPr>
            <w:tcW w:w="1247" w:type="dxa"/>
          </w:tcPr>
          <w:p w14:paraId="1D4AF46B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998" w:type="dxa"/>
          </w:tcPr>
          <w:p w14:paraId="5F8F81B0" w14:textId="77777777" w:rsidR="002A027A" w:rsidRPr="0018485D" w:rsidRDefault="002A027A" w:rsidP="00C9321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8485D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</w:tr>
    </w:tbl>
    <w:p w14:paraId="0755F91A" w14:textId="77777777" w:rsidR="002A027A" w:rsidRPr="00B46712" w:rsidRDefault="002A027A" w:rsidP="002A027A"/>
    <w:p w14:paraId="08420F93" w14:textId="77777777" w:rsidR="002A027A" w:rsidRPr="00C47CFD" w:rsidRDefault="002A027A" w:rsidP="002A027A">
      <w:pPr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825A50">
        <w:rPr>
          <w:rFonts w:ascii="Arial" w:hAnsi="Arial" w:cs="Arial"/>
          <w:b/>
          <w:bCs/>
          <w:sz w:val="18"/>
          <w:szCs w:val="18"/>
        </w:rPr>
        <w:t>Table S</w:t>
      </w:r>
      <w:r>
        <w:rPr>
          <w:rFonts w:ascii="Arial" w:hAnsi="Arial" w:cs="Arial"/>
          <w:b/>
          <w:bCs/>
          <w:sz w:val="18"/>
          <w:szCs w:val="18"/>
        </w:rPr>
        <w:t>3</w:t>
      </w:r>
      <w:r w:rsidRPr="00C47CFD">
        <w:rPr>
          <w:rFonts w:ascii="Arial" w:hAnsi="Arial" w:cs="Arial"/>
          <w:sz w:val="18"/>
          <w:szCs w:val="18"/>
        </w:rPr>
        <w:t>. Univariate and multivariate Cox regression analys</w:t>
      </w:r>
      <w:r>
        <w:rPr>
          <w:rFonts w:ascii="Arial" w:hAnsi="Arial" w:cs="Arial"/>
          <w:sz w:val="18"/>
          <w:szCs w:val="18"/>
        </w:rPr>
        <w:t>i</w:t>
      </w:r>
      <w:r w:rsidRPr="00C47CFD">
        <w:rPr>
          <w:rFonts w:ascii="Arial" w:hAnsi="Arial" w:cs="Arial"/>
          <w:sz w:val="18"/>
          <w:szCs w:val="18"/>
        </w:rPr>
        <w:t xml:space="preserve">s of </w:t>
      </w:r>
      <w:r w:rsidRPr="00C47CFD">
        <w:rPr>
          <w:rFonts w:ascii="Arial" w:eastAsiaTheme="minorEastAsia" w:hAnsi="Arial" w:cs="Arial"/>
          <w:kern w:val="0"/>
          <w:sz w:val="18"/>
          <w:szCs w:val="18"/>
        </w:rPr>
        <w:t xml:space="preserve">different prognostic parameters for </w:t>
      </w:r>
      <w:r>
        <w:rPr>
          <w:rFonts w:ascii="Arial" w:eastAsiaTheme="minorEastAsia" w:hAnsi="Arial" w:cs="Arial"/>
          <w:kern w:val="0"/>
          <w:sz w:val="18"/>
          <w:szCs w:val="18"/>
        </w:rPr>
        <w:t>progression free</w:t>
      </w:r>
      <w:r w:rsidRPr="00C47CFD">
        <w:rPr>
          <w:rFonts w:ascii="Arial" w:eastAsiaTheme="minorEastAsia" w:hAnsi="Arial" w:cs="Arial"/>
          <w:kern w:val="0"/>
          <w:sz w:val="18"/>
          <w:szCs w:val="18"/>
        </w:rPr>
        <w:t xml:space="preserve"> survival</w:t>
      </w:r>
      <w:r w:rsidRPr="00C47CFD">
        <w:rPr>
          <w:rFonts w:ascii="Arial" w:hAnsi="Arial" w:cs="Arial"/>
          <w:sz w:val="18"/>
          <w:szCs w:val="18"/>
        </w:rPr>
        <w:t xml:space="preserve"> in WHO grade II and III diffuse glioma patients</w:t>
      </w:r>
    </w:p>
    <w:p w14:paraId="695C258F" w14:textId="77777777" w:rsidR="002A027A" w:rsidRPr="00995F03" w:rsidRDefault="002A027A" w:rsidP="002A027A">
      <w:pPr>
        <w:spacing w:line="360" w:lineRule="auto"/>
        <w:rPr>
          <w:rFonts w:eastAsiaTheme="minorEastAsia"/>
          <w:color w:val="000000"/>
          <w:kern w:val="0"/>
          <w:sz w:val="20"/>
          <w:szCs w:val="20"/>
        </w:rPr>
      </w:pPr>
    </w:p>
    <w:tbl>
      <w:tblPr>
        <w:tblW w:w="1077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851"/>
        <w:gridCol w:w="1559"/>
        <w:gridCol w:w="1134"/>
        <w:gridCol w:w="284"/>
        <w:gridCol w:w="1134"/>
        <w:gridCol w:w="1559"/>
        <w:gridCol w:w="1276"/>
      </w:tblGrid>
      <w:tr w:rsidR="002A027A" w:rsidRPr="00293845" w14:paraId="04FD8791" w14:textId="77777777" w:rsidTr="00C93214">
        <w:trPr>
          <w:trHeight w:val="270"/>
          <w:jc w:val="center"/>
        </w:trPr>
        <w:tc>
          <w:tcPr>
            <w:tcW w:w="2977" w:type="dxa"/>
            <w:vMerge w:val="restart"/>
            <w:shd w:val="clear" w:color="auto" w:fill="auto"/>
            <w:noWrap/>
            <w:vAlign w:val="bottom"/>
            <w:hideMark/>
          </w:tcPr>
          <w:p w14:paraId="0F19D0C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3544" w:type="dxa"/>
            <w:gridSpan w:val="3"/>
            <w:shd w:val="clear" w:color="auto" w:fill="auto"/>
            <w:noWrap/>
            <w:vAlign w:val="bottom"/>
            <w:hideMark/>
          </w:tcPr>
          <w:p w14:paraId="6C6AC5AB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Univariate</w:t>
            </w:r>
          </w:p>
        </w:tc>
        <w:tc>
          <w:tcPr>
            <w:tcW w:w="284" w:type="dxa"/>
          </w:tcPr>
          <w:p w14:paraId="572E227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gridSpan w:val="3"/>
            <w:shd w:val="clear" w:color="auto" w:fill="auto"/>
            <w:noWrap/>
            <w:vAlign w:val="bottom"/>
            <w:hideMark/>
          </w:tcPr>
          <w:p w14:paraId="1FEDE88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Multivariate</w:t>
            </w:r>
          </w:p>
        </w:tc>
      </w:tr>
      <w:tr w:rsidR="002A027A" w:rsidRPr="00293845" w14:paraId="5546E188" w14:textId="77777777" w:rsidTr="00C93214">
        <w:trPr>
          <w:trHeight w:val="270"/>
          <w:jc w:val="center"/>
        </w:trPr>
        <w:tc>
          <w:tcPr>
            <w:tcW w:w="297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6BF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8B59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BAABE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1EDAE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367D79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C293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71DF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95%CI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4423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2A027A" w:rsidRPr="00293845" w14:paraId="66262B20" w14:textId="77777777" w:rsidTr="00C93214">
        <w:trPr>
          <w:trHeight w:val="270"/>
          <w:jc w:val="center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7110D" w14:textId="77777777" w:rsidR="002A027A" w:rsidRPr="00293845" w:rsidRDefault="002A027A" w:rsidP="00C93214">
            <w:pPr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Age(</w:t>
            </w:r>
            <w:proofErr w:type="gramEnd"/>
            <w:r w:rsidRPr="00FD1E79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 xml:space="preserve">50 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 xml:space="preserve">vs 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&gt;50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065CFC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2.213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CDFE32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1.397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-3.506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419FFF3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0.001*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147CCA4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2688D5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003E98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0.333-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0.857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122911F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0.009*</w:t>
            </w:r>
          </w:p>
        </w:tc>
      </w:tr>
      <w:tr w:rsidR="002A027A" w:rsidRPr="00293845" w14:paraId="2965EB31" w14:textId="77777777" w:rsidTr="00C93214">
        <w:trPr>
          <w:trHeight w:val="349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15154C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Gender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male vs female)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082EFEB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0.780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DEE557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0.500-1.218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B51D62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284" w:type="dxa"/>
          </w:tcPr>
          <w:p w14:paraId="5D907B4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AD6B4C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9E2098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1F94C568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4E4412A4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5FC8A6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WHO Grade（II vs III）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04571FF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3.545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D72DCB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2.187-5.746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A8A2DF9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&lt;</w:t>
            </w:r>
            <w:r w:rsidRPr="00BA3032"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  <w:t>0.001*</w:t>
            </w:r>
          </w:p>
        </w:tc>
        <w:tc>
          <w:tcPr>
            <w:tcW w:w="284" w:type="dxa"/>
          </w:tcPr>
          <w:p w14:paraId="02128CF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CB69B9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0.31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47C1B7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0.188-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4835AD3F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&lt;0.001</w:t>
            </w:r>
            <w:r w:rsidRPr="00BA3032"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2A027A" w:rsidRPr="00293845" w14:paraId="29561A1B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</w:tcPr>
          <w:p w14:paraId="248C05BB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Extent of resection (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GTR vs STR)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2AC49CD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.434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3C1D00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.902-2.281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D557F6B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.128</w:t>
            </w:r>
          </w:p>
        </w:tc>
        <w:tc>
          <w:tcPr>
            <w:tcW w:w="284" w:type="dxa"/>
          </w:tcPr>
          <w:p w14:paraId="6406098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6A8823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9977F33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63F7827E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568D75DD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7343AB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IDH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mutation vs no)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59BDBEE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.399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F51426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.248-0.640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B6DB393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  <w:t>&lt;</w:t>
            </w: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0</w:t>
            </w:r>
            <w:r w:rsidRPr="00BA3032"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  <w:t>.001*</w:t>
            </w:r>
          </w:p>
        </w:tc>
        <w:tc>
          <w:tcPr>
            <w:tcW w:w="284" w:type="dxa"/>
          </w:tcPr>
          <w:p w14:paraId="4A8EEAC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7D21FC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1.776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031ABBD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1.061-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2.970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33A4DBB5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0.029*</w:t>
            </w:r>
          </w:p>
        </w:tc>
      </w:tr>
      <w:tr w:rsidR="002A027A" w:rsidRPr="00293845" w14:paraId="1E046EE2" w14:textId="77777777" w:rsidTr="00C93214">
        <w:trPr>
          <w:trHeight w:val="335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BEF783B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TERT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promotor 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(mutation vs no)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CE413D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.764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4DA504F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.494-1.182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647D6DE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.226</w:t>
            </w:r>
          </w:p>
        </w:tc>
        <w:tc>
          <w:tcPr>
            <w:tcW w:w="284" w:type="dxa"/>
          </w:tcPr>
          <w:p w14:paraId="1D0AD94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43DDEA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14932AB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6CDAB95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02154045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B1EA3C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1p19q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(codeletion vs no)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517CD9CF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.883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DBCCAF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.150-3.084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EC34DBC" w14:textId="77777777" w:rsidR="002A027A" w:rsidRPr="00BA3032" w:rsidRDefault="002A027A" w:rsidP="00C93214"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</w:pPr>
            <w:r w:rsidRPr="00BA3032">
              <w:rPr>
                <w:rFonts w:eastAsiaTheme="minorEastAsia" w:hint="eastAsia"/>
                <w:b/>
                <w:color w:val="000000"/>
                <w:kern w:val="0"/>
                <w:sz w:val="20"/>
                <w:szCs w:val="20"/>
              </w:rPr>
              <w:t>0</w:t>
            </w:r>
            <w:r w:rsidRPr="00BA3032">
              <w:rPr>
                <w:rFonts w:eastAsiaTheme="minorEastAsia"/>
                <w:b/>
                <w:color w:val="000000"/>
                <w:kern w:val="0"/>
                <w:sz w:val="20"/>
                <w:szCs w:val="20"/>
              </w:rPr>
              <w:t>.012*</w:t>
            </w:r>
          </w:p>
        </w:tc>
        <w:tc>
          <w:tcPr>
            <w:tcW w:w="284" w:type="dxa"/>
          </w:tcPr>
          <w:p w14:paraId="7589DD44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44FA6DD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0.624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5654BFE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0.367-1.059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0C53B36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0.080</w:t>
            </w:r>
          </w:p>
        </w:tc>
      </w:tr>
      <w:tr w:rsidR="002A027A" w:rsidRPr="00293845" w14:paraId="6A18D01E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44F5B1B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NLR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2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9 vs &gt;2.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2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9)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366CB9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.487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499D33D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.970-2.279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2EDAA17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.069</w:t>
            </w:r>
          </w:p>
        </w:tc>
        <w:tc>
          <w:tcPr>
            <w:tcW w:w="284" w:type="dxa"/>
          </w:tcPr>
          <w:p w14:paraId="1471FED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44A746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760FF71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0F34727D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60938FE4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4F4FD44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LMR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4.81 vs &gt;4.</w:t>
            </w:r>
            <w:proofErr w:type="gramStart"/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81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)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）</w:t>
            </w:r>
            <w:proofErr w:type="gramEnd"/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55A508E5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753285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.561-1.301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C3E46D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.463</w:t>
            </w:r>
          </w:p>
        </w:tc>
        <w:tc>
          <w:tcPr>
            <w:tcW w:w="284" w:type="dxa"/>
          </w:tcPr>
          <w:p w14:paraId="4C30DF1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9EBD45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73DFD0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6020ACD7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18779E04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8040B3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PLR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112.11 vs &gt;112.11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6E2F6B09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.794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2C2A369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.511-1.234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6A7D6F0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.305</w:t>
            </w:r>
          </w:p>
        </w:tc>
        <w:tc>
          <w:tcPr>
            <w:tcW w:w="284" w:type="dxa"/>
          </w:tcPr>
          <w:p w14:paraId="6918A15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0F2DCA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008B0A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86E3F1A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  <w:tr w:rsidR="002A027A" w:rsidRPr="00293845" w14:paraId="1DD66339" w14:textId="77777777" w:rsidTr="00C93214">
        <w:trPr>
          <w:trHeight w:val="270"/>
          <w:jc w:val="center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FF5C390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dNLR</w:t>
            </w:r>
            <w:proofErr w:type="spellEnd"/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293845"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≤</w:t>
            </w:r>
            <w:r w:rsidRPr="00293845">
              <w:rPr>
                <w:rFonts w:eastAsiaTheme="minorEastAsia"/>
                <w:color w:val="000000"/>
                <w:kern w:val="0"/>
                <w:sz w:val="20"/>
                <w:szCs w:val="20"/>
              </w:rPr>
              <w:t>1.66 vs &gt;1.66)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525C496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.476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39799378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.962-2.264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81B3744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eastAsiaTheme="minorEastAsia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eastAsiaTheme="minorEastAsia"/>
                <w:color w:val="000000"/>
                <w:kern w:val="0"/>
                <w:sz w:val="20"/>
                <w:szCs w:val="20"/>
              </w:rPr>
              <w:t>.075</w:t>
            </w:r>
          </w:p>
        </w:tc>
        <w:tc>
          <w:tcPr>
            <w:tcW w:w="284" w:type="dxa"/>
          </w:tcPr>
          <w:p w14:paraId="1723E8E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57AB6892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bottom"/>
          </w:tcPr>
          <w:p w14:paraId="65D783C6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17E741DC" w14:textId="77777777" w:rsidR="002A027A" w:rsidRPr="00293845" w:rsidRDefault="002A027A" w:rsidP="00C93214"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4A9546E" w14:textId="77777777" w:rsidR="00386883" w:rsidRDefault="002A027A">
      <w:bookmarkStart w:id="1" w:name="_GoBack"/>
      <w:bookmarkEnd w:id="1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27A"/>
    <w:rsid w:val="002A027A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63C34"/>
  <w15:chartTrackingRefBased/>
  <w15:docId w15:val="{F50A942F-A29A-4B99-8E5A-805AF0DF2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27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7A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2019-12-17T18:20:00Z</dcterms:created>
  <dcterms:modified xsi:type="dcterms:W3CDTF">2019-12-17T18:20:00Z</dcterms:modified>
</cp:coreProperties>
</file>